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Сведения о качестве реализации Программы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</w:rPr>
      </w:r>
    </w:p>
    <w:p>
      <w:pPr>
        <w:pStyle w:val="Style51"/>
        <w:widowControl/>
        <w:spacing w:lineRule="auto" w:line="240" w:before="0" w:after="0"/>
        <w:ind w:hanging="0"/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cs="Times New Roman" w:ascii="Times New Roman" w:hAnsi="Times New Roman"/>
          <w:color w:val="1A1A1A"/>
          <w:sz w:val="28"/>
          <w:szCs w:val="28"/>
        </w:rPr>
        <w:t xml:space="preserve">Представленная </w:t>
      </w:r>
      <w:r>
        <w:rPr>
          <w:rFonts w:cs="Times New Roman" w:ascii="Times New Roman" w:hAnsi="Times New Roman"/>
          <w:sz w:val="28"/>
          <w:szCs w:val="28"/>
          <w:lang w:eastAsia="en-US"/>
        </w:rPr>
        <w:t>дополнительная общеобразовательная общеразвивающая программа «</w:t>
      </w:r>
      <w:r>
        <w:rPr>
          <w:rFonts w:eastAsia="Times New Roman" w:cs="Times New Roman" w:ascii="Times New Roman" w:hAnsi="Times New Roman"/>
          <w:sz w:val="28"/>
          <w:szCs w:val="28"/>
          <w:lang w:eastAsia="en-US"/>
        </w:rPr>
        <w:t>Живые камни</w:t>
      </w:r>
      <w:r>
        <w:rPr>
          <w:rFonts w:cs="Times New Roman" w:ascii="Times New Roman" w:hAnsi="Times New Roman"/>
          <w:sz w:val="28"/>
          <w:szCs w:val="28"/>
          <w:lang w:eastAsia="en-US"/>
        </w:rPr>
        <w:t>» включена в образовательную программу МБУДО «Дом детского творчества» г-к Железноводска Ставропольского края имеет художественную направленность, направлена на развитие творческих способностей детей, способствует развитию художественного мышления, приобщению к искусству и изобразительному творчеству.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Программа соответствует потребностям детей и их родителей, так как ориентирована на разный уровень подготовленности учащихся.</w:t>
      </w:r>
      <w:r>
        <w:rPr>
          <w:rFonts w:cs="Times New Roman" w:ascii="Times New Roman" w:hAnsi="Times New Roman"/>
          <w:sz w:val="28"/>
          <w:szCs w:val="28"/>
          <w:lang w:eastAsia="en-US"/>
        </w:rPr>
        <w:t xml:space="preserve">   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>Адресат программы: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 xml:space="preserve">  учащиеся 6-14 лет (мальчики и девочки).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Условия набора: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набор в группы свободный,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 xml:space="preserve">принимаются все желающие. 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b/>
          <w:b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Условия формирования групп: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разновозрастные дети в количестве 10-15 человек</w:t>
      </w:r>
      <w:r>
        <w:rPr>
          <w:rFonts w:cs="Times New Roman" w:ascii="Times New Roman" w:hAnsi="Times New Roman"/>
          <w:spacing w:val="-2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(девочки и мальчики),</w:t>
      </w: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комплектация  объединения  осуществляется  по  принципу  открытости  и  добровольности,  без  предварительного  отбора.  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Отличительная особенность ДОП: </w:t>
      </w:r>
      <w:r>
        <w:rPr>
          <w:rFonts w:eastAsia="Times New Roman" w:cs="Times New Roman" w:ascii="Times New Roman" w:hAnsi="Times New Roman"/>
          <w:b w:val="false"/>
          <w:bCs w:val="false"/>
          <w:spacing w:val="-2"/>
          <w:sz w:val="28"/>
          <w:szCs w:val="28"/>
        </w:rPr>
        <w:t xml:space="preserve">художественная роспись обычных камней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000000"/>
          <w:spacing w:val="-2"/>
          <w:sz w:val="28"/>
          <w:szCs w:val="28"/>
        </w:rPr>
        <w:t xml:space="preserve">- </w:t>
      </w:r>
      <w:r>
        <w:rPr>
          <w:rFonts w:eastAsia="Times New Roman" w:cs="Times New Roman" w:ascii="Times New Roman" w:hAnsi="Times New Roman"/>
          <w:b w:val="false"/>
          <w:bCs w:val="false"/>
          <w:spacing w:val="-2"/>
          <w:sz w:val="28"/>
          <w:szCs w:val="28"/>
        </w:rPr>
        <w:t>уникальный вид творчества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000000"/>
          <w:spacing w:val="-2"/>
          <w:sz w:val="28"/>
          <w:szCs w:val="28"/>
        </w:rPr>
        <w:t xml:space="preserve"> который раскрывает</w:t>
      </w:r>
      <w:r>
        <w:rPr>
          <w:rFonts w:eastAsia="Times New Roman" w:cs="Times New Roman" w:ascii="Times New Roman" w:hAnsi="Times New Roman"/>
          <w:b w:val="false"/>
          <w:bCs w:val="false"/>
          <w:spacing w:val="-2"/>
          <w:sz w:val="28"/>
          <w:szCs w:val="28"/>
        </w:rPr>
        <w:t xml:space="preserve"> красоту природы и ее ценность.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000000"/>
          <w:spacing w:val="-2"/>
          <w:sz w:val="28"/>
          <w:szCs w:val="28"/>
        </w:rPr>
        <w:t xml:space="preserve">Благодаря этому </w:t>
      </w:r>
      <w:r>
        <w:rPr>
          <w:rFonts w:eastAsia="Times New Roman" w:cs="Times New Roman" w:ascii="Times New Roman" w:hAnsi="Times New Roman"/>
          <w:b w:val="false"/>
          <w:bCs w:val="false"/>
          <w:spacing w:val="-2"/>
          <w:sz w:val="28"/>
          <w:szCs w:val="28"/>
        </w:rPr>
        <w:t xml:space="preserve">укрепляется связь ребенка с природой и культурой, трудом и искусством. </w:t>
      </w:r>
      <w:r>
        <w:rPr>
          <w:rFonts w:eastAsia="Times New Roman" w:cs="Times New Roman" w:ascii="Times New Roman" w:hAnsi="Times New Roman"/>
          <w:b w:val="false"/>
          <w:bCs w:val="false"/>
          <w:iCs/>
          <w:color w:val="000000"/>
          <w:spacing w:val="-2"/>
          <w:sz w:val="28"/>
          <w:szCs w:val="28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Уровень ДОП: </w:t>
      </w:r>
      <w:r>
        <w:rPr>
          <w:rFonts w:cs="Times New Roman" w:ascii="Times New Roman" w:hAnsi="Times New Roman"/>
          <w:sz w:val="28"/>
          <w:szCs w:val="28"/>
        </w:rPr>
        <w:t>стартовый (ознакомительный)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Объём и срок реализации программы –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 xml:space="preserve">срок реализации программы – 1 год.  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b/>
          <w:b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Общее количество учебных часов составляет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 xml:space="preserve"> – 72 часа.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spacing w:val="-2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Режим занятий –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1 раз в неделю по 2 академических часа (по 45 минут с перерывом 10 минут)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eastAsia="Times New Roman" w:cs="Times New Roman"/>
          <w:b/>
          <w:b/>
          <w:spacing w:val="-2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spacing w:val="-2"/>
          <w:sz w:val="28"/>
          <w:szCs w:val="28"/>
        </w:rPr>
        <w:t xml:space="preserve">Форма обучения </w:t>
      </w:r>
      <w:r>
        <w:rPr>
          <w:rFonts w:eastAsia="Times New Roman" w:cs="Times New Roman" w:ascii="Times New Roman" w:hAnsi="Times New Roman"/>
          <w:spacing w:val="-2"/>
          <w:sz w:val="28"/>
          <w:szCs w:val="28"/>
        </w:rPr>
        <w:t>– очная</w:t>
      </w:r>
      <w:r>
        <w:rPr>
          <w:rFonts w:eastAsia="Times New Roman" w:cs="Times New Roman" w:ascii="Times New Roman" w:hAnsi="Times New Roman"/>
          <w:b/>
          <w:spacing w:val="-2"/>
          <w:sz w:val="26"/>
          <w:szCs w:val="26"/>
        </w:rPr>
        <w:t xml:space="preserve">   </w:t>
      </w:r>
    </w:p>
    <w:p>
      <w:pPr>
        <w:pStyle w:val="Normal"/>
        <w:shd w:val="clear" w:color="auto" w:fill="FFFFFF"/>
        <w:spacing w:lineRule="auto" w:line="240" w:before="0" w:after="0"/>
        <w:rPr>
          <w:rFonts w:ascii="Helvetica" w:hAnsi="Helvetica" w:eastAsia="Times New Roman" w:cs="Helvetica"/>
          <w:color w:val="1A1A1A"/>
          <w:sz w:val="23"/>
          <w:szCs w:val="23"/>
        </w:rPr>
      </w:pPr>
      <w:r>
        <w:rPr>
          <w:rFonts w:eastAsia="Times New Roman" w:cs="Helvetica" w:ascii="Helvetica" w:hAnsi="Helvetica"/>
          <w:color w:val="1A1A1A"/>
          <w:sz w:val="23"/>
          <w:szCs w:val="23"/>
        </w:rPr>
      </w:r>
    </w:p>
    <w:p>
      <w:pPr>
        <w:pStyle w:val="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 xml:space="preserve">Цель программы: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развития личности, способной к художественному творчеству и самореализации личности ребенка через творческое воплощение в художественной работе собственных неповторимых черт и индивидуальности.</w:t>
      </w:r>
    </w:p>
    <w:p>
      <w:pPr>
        <w:pStyle w:val="Normal"/>
        <w:shd w:val="clear" w:color="auto" w:fill="FFFFFF"/>
        <w:spacing w:lineRule="auto" w:line="240" w:before="0" w:after="0"/>
        <w:ind w:firstLine="710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Общие сведения об обучающихся:</w:t>
      </w:r>
    </w:p>
    <w:p>
      <w:pPr>
        <w:pStyle w:val="Normal"/>
        <w:shd w:val="clear" w:color="auto" w:fill="FFFFFF"/>
        <w:spacing w:lineRule="auto" w:line="240" w:before="0" w:after="0"/>
        <w:ind w:firstLine="71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</w:rPr>
      </w:r>
    </w:p>
    <w:tbl>
      <w:tblPr>
        <w:tblW w:w="9782" w:type="dxa"/>
        <w:jc w:val="left"/>
        <w:tblInd w:w="-22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421"/>
        <w:gridCol w:w="1866"/>
        <w:gridCol w:w="1713"/>
        <w:gridCol w:w="1962"/>
        <w:gridCol w:w="1292"/>
        <w:gridCol w:w="1527"/>
      </w:tblGrid>
      <w:tr>
        <w:trPr>
          <w:trHeight w:val="325" w:hRule="atLeast"/>
        </w:trPr>
        <w:tc>
          <w:tcPr>
            <w:tcW w:w="14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Учебный год</w:t>
            </w:r>
          </w:p>
        </w:tc>
        <w:tc>
          <w:tcPr>
            <w:tcW w:w="18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Сохранность (%)</w:t>
            </w:r>
          </w:p>
        </w:tc>
        <w:tc>
          <w:tcPr>
            <w:tcW w:w="1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Количество групп</w:t>
            </w:r>
          </w:p>
        </w:tc>
        <w:tc>
          <w:tcPr>
            <w:tcW w:w="19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Количество обучающихся</w:t>
            </w:r>
          </w:p>
        </w:tc>
        <w:tc>
          <w:tcPr>
            <w:tcW w:w="281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Из них:</w:t>
            </w:r>
          </w:p>
        </w:tc>
      </w:tr>
      <w:tr>
        <w:trPr>
          <w:trHeight w:val="142" w:hRule="atLeast"/>
        </w:trPr>
        <w:tc>
          <w:tcPr>
            <w:tcW w:w="142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866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713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96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девочки</w:t>
            </w:r>
          </w:p>
        </w:tc>
        <w:tc>
          <w:tcPr>
            <w:tcW w:w="1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мальчики</w:t>
            </w:r>
          </w:p>
        </w:tc>
      </w:tr>
      <w:tr>
        <w:trPr>
          <w:trHeight w:val="325" w:hRule="atLeast"/>
        </w:trPr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2021-2022</w:t>
            </w:r>
          </w:p>
        </w:tc>
        <w:tc>
          <w:tcPr>
            <w:tcW w:w="1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100%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28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5</w:t>
            </w:r>
          </w:p>
        </w:tc>
        <w:tc>
          <w:tcPr>
            <w:tcW w:w="1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</w:t>
            </w:r>
          </w:p>
        </w:tc>
      </w:tr>
      <w:tr>
        <w:trPr>
          <w:trHeight w:val="325" w:hRule="atLeast"/>
        </w:trPr>
        <w:tc>
          <w:tcPr>
            <w:tcW w:w="142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2022-2023</w:t>
            </w:r>
          </w:p>
        </w:tc>
        <w:tc>
          <w:tcPr>
            <w:tcW w:w="18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100%</w:t>
            </w:r>
          </w:p>
        </w:tc>
        <w:tc>
          <w:tcPr>
            <w:tcW w:w="171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96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28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16</w:t>
            </w:r>
          </w:p>
        </w:tc>
        <w:tc>
          <w:tcPr>
            <w:tcW w:w="152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12</w:t>
            </w:r>
          </w:p>
        </w:tc>
      </w:tr>
      <w:tr>
        <w:trPr>
          <w:trHeight w:val="325" w:hRule="atLeast"/>
        </w:trPr>
        <w:tc>
          <w:tcPr>
            <w:tcW w:w="1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2023-2024</w:t>
            </w:r>
          </w:p>
        </w:tc>
        <w:tc>
          <w:tcPr>
            <w:tcW w:w="1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100%</w:t>
            </w:r>
          </w:p>
        </w:tc>
        <w:tc>
          <w:tcPr>
            <w:tcW w:w="1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</w:t>
            </w:r>
          </w:p>
        </w:tc>
        <w:tc>
          <w:tcPr>
            <w:tcW w:w="1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28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19</w:t>
            </w:r>
          </w:p>
        </w:tc>
        <w:tc>
          <w:tcPr>
            <w:tcW w:w="15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10</w:t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Результатом реализации программы является создание ребенком своими руками предмета, а оценкой его деятельности является способность трудиться, добиваться результата, ведь овладеть всеми секретами декоративно-прикладного искусства может каждый желающий ребенок. При освоении программы проводится контроль полученных знаний и навыков обучающихся.  </w:t>
      </w:r>
      <w:r>
        <w:rPr/>
        <w:t xml:space="preserve">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Для определения результативности обучения по данной программе применяются следующие методы:</w:t>
      </w:r>
    </w:p>
    <w:p>
      <w:pPr>
        <w:pStyle w:val="Normal"/>
        <w:shd w:val="clear" w:color="auto" w:fill="FFFFFF"/>
        <w:spacing w:lineRule="auto" w:line="240" w:before="0" w:after="0"/>
        <w:ind w:firstLine="71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- индивидуальное наблюдение;</w:t>
      </w:r>
    </w:p>
    <w:p>
      <w:pPr>
        <w:pStyle w:val="Normal"/>
        <w:shd w:val="clear" w:color="auto" w:fill="FFFFFF"/>
        <w:spacing w:lineRule="auto" w:line="240" w:before="0" w:after="0"/>
        <w:ind w:firstLine="71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- педагогический мониторинг, включающий тесты, диагностику личностного роста.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Результаты мониторинга за 202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1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-2024 гг.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</w:rPr>
      </w:r>
    </w:p>
    <w:tbl>
      <w:tblPr>
        <w:tblW w:w="9430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385"/>
        <w:gridCol w:w="2171"/>
        <w:gridCol w:w="1482"/>
        <w:gridCol w:w="1474"/>
        <w:gridCol w:w="1433"/>
        <w:gridCol w:w="1484"/>
      </w:tblGrid>
      <w:tr>
        <w:trPr>
          <w:trHeight w:val="326" w:hRule="atLeast"/>
        </w:trPr>
        <w:tc>
          <w:tcPr>
            <w:tcW w:w="13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Учебный год</w:t>
            </w:r>
          </w:p>
        </w:tc>
        <w:tc>
          <w:tcPr>
            <w:tcW w:w="2171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контроль/</w:t>
            </w:r>
          </w:p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аттестация</w:t>
            </w:r>
          </w:p>
        </w:tc>
        <w:tc>
          <w:tcPr>
            <w:tcW w:w="1482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кол-во учащихся</w:t>
            </w:r>
          </w:p>
        </w:tc>
        <w:tc>
          <w:tcPr>
            <w:tcW w:w="439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Уровень, %</w:t>
            </w:r>
          </w:p>
        </w:tc>
      </w:tr>
      <w:tr>
        <w:trPr>
          <w:trHeight w:val="142" w:hRule="atLeast"/>
        </w:trPr>
        <w:tc>
          <w:tcPr>
            <w:tcW w:w="1385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482" w:type="dxa"/>
            <w:vMerge w:val="continue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Высокий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Средний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Ниже среднего</w:t>
            </w:r>
          </w:p>
        </w:tc>
      </w:tr>
      <w:tr>
        <w:trPr>
          <w:trHeight w:val="341" w:hRule="atLeast"/>
        </w:trPr>
        <w:tc>
          <w:tcPr>
            <w:tcW w:w="13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202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1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-202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текущий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28</w:t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35,7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35,7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28,6</w:t>
            </w:r>
          </w:p>
        </w:tc>
      </w:tr>
      <w:tr>
        <w:trPr>
          <w:trHeight w:val="341" w:hRule="atLeast"/>
        </w:trPr>
        <w:tc>
          <w:tcPr>
            <w:tcW w:w="13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промежуточный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50</w:t>
            </w: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33,3</w:t>
            </w:r>
          </w:p>
        </w:tc>
        <w:tc>
          <w:tcPr>
            <w:tcW w:w="14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16,7</w:t>
            </w:r>
          </w:p>
        </w:tc>
      </w:tr>
      <w:tr>
        <w:trPr>
          <w:trHeight w:val="341" w:hRule="atLeast"/>
        </w:trPr>
        <w:tc>
          <w:tcPr>
            <w:tcW w:w="1385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</w:rPr>
              <w:t>итоговый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64,2</w:t>
            </w: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28,6</w:t>
            </w:r>
          </w:p>
        </w:tc>
        <w:tc>
          <w:tcPr>
            <w:tcW w:w="14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7,2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restart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2022-2023</w:t>
            </w:r>
          </w:p>
        </w:tc>
        <w:tc>
          <w:tcPr>
            <w:tcW w:w="2171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текущий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28</w:t>
            </w:r>
          </w:p>
        </w:tc>
        <w:tc>
          <w:tcPr>
            <w:tcW w:w="14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,7</w:t>
            </w:r>
          </w:p>
        </w:tc>
        <w:tc>
          <w:tcPr>
            <w:tcW w:w="143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4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,7</w:t>
            </w:r>
          </w:p>
        </w:tc>
        <w:tc>
          <w:tcPr>
            <w:tcW w:w="14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28,6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continue"/>
            <w:tcBorders>
              <w:left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промежуточный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0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3,3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6,7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continue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</w:rPr>
              <w:t>итоговый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64,2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28,6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7,2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</w:rPr>
              <w:t>2023-2024</w:t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текущий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28</w:t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37,5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31,2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31,3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continue"/>
            <w:tcBorders>
              <w:left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промежуточный</w:t>
            </w:r>
          </w:p>
        </w:tc>
        <w:tc>
          <w:tcPr>
            <w:tcW w:w="1482" w:type="dxa"/>
            <w:tcBorders>
              <w:left w:val="single" w:sz="4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62,5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31,2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6,3</w:t>
            </w:r>
          </w:p>
        </w:tc>
      </w:tr>
      <w:tr>
        <w:trPr>
          <w:trHeight w:val="341" w:hRule="atLeast"/>
        </w:trPr>
        <w:tc>
          <w:tcPr>
            <w:tcW w:w="1385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Calibri" w:hAnsi="Calibri" w:eastAsia="Times New Roman" w:cs="Calibri"/>
                <w:color w:val="000000"/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</w:rPr>
            </w:r>
          </w:p>
        </w:tc>
        <w:tc>
          <w:tcPr>
            <w:tcW w:w="217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</w:rPr>
              <w:t>итоговый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4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75,2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23,3</w:t>
            </w:r>
          </w:p>
        </w:tc>
        <w:tc>
          <w:tcPr>
            <w:tcW w:w="14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tLeast" w:line="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bCs/>
                <w:color w:val="000000"/>
                <w:sz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</w:rPr>
              <w:t>1,6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>Промежуточный контроль,  проводится по окончании первого полугодия (декабрь каждого учебного года), что позволяет оценить степень освоения программы на данном этапе. Итоговый в конце каждого учебного года (май), что позволяет оценить результативность освоения программы за учебный год.</w:t>
      </w:r>
      <w:r>
        <w:rPr>
          <w:rFonts w:eastAsia="Times New Roman" w:cs="Times New Roman" w:ascii="Times New Roman" w:hAnsi="Times New Roman"/>
          <w:color w:val="000000"/>
          <w:sz w:val="28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При анализе результативности обучения виден прогресс. Это значит, что учащиеся заинтересованы и стремятся к творческому росту. Проверка знаний, умений и навыков, обучающихся по трехбалльной системе в данной сфере педагогической деятельности приемлема, так как позволяет точно определить знает ли ребенок материал или нет.  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1A1A1A"/>
          <w:sz w:val="28"/>
          <w:szCs w:val="28"/>
        </w:rPr>
        <w:t>Вывод: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 положительная  динамика  результатов  освоения  учащимися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дополнительной образовательной программы и </w:t>
      </w:r>
      <w:r>
        <w:rPr>
          <w:rFonts w:cs="Times New Roman" w:ascii="Times New Roman" w:hAnsi="Times New Roman"/>
          <w:color w:val="1A1A1A"/>
          <w:sz w:val="28"/>
          <w:szCs w:val="28"/>
          <w:shd w:fill="FFFFFF" w:val="clear"/>
        </w:rPr>
        <w:t xml:space="preserve">стабильность сохранности контингента  обучающихся  по  программе 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 наблюдается  в  течение  двух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1A1A1A"/>
          <w:sz w:val="28"/>
          <w:szCs w:val="28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лет (с 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2021-2022, 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 xml:space="preserve"> 202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>2</w:t>
      </w:r>
      <w:r>
        <w:rPr>
          <w:rFonts w:eastAsia="Times New Roman" w:cs="Times New Roman" w:ascii="Times New Roman" w:hAnsi="Times New Roman"/>
          <w:color w:val="1A1A1A"/>
          <w:sz w:val="28"/>
          <w:szCs w:val="28"/>
        </w:rPr>
        <w:t>-2023 уч.г. по 2023-2024 уч.г.)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Диагностика занимает очень важное место в воспитательно-образовательном процессе. Она позволяет через мониторинг и коррекцию системы педагогической деятельности осуществлять процесс обучения, воспитания и творческого развития детей.</w:t>
      </w:r>
      <w:r>
        <w:rPr>
          <w:rFonts w:eastAsia="Times New Roman" w:cs="Calibri"/>
          <w:color w:val="000000"/>
          <w:sz w:val="20"/>
          <w:szCs w:val="20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8"/>
        </w:rPr>
        <w:t>Регулярное отслеживание ЗУН ребенка это и стимулирование его деятельности в дальнейшем, развитие личностных качеств, продвижение в творческой деятельности.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Участие в мероприятиях и конкурсах различного уровня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 w:val="20"/>
          <w:szCs w:val="20"/>
        </w:rPr>
      </w:pPr>
      <w:r>
        <w:rPr>
          <w:rFonts w:eastAsia="Times New Roman" w:cs="Calibri"/>
          <w:color w:val="000000"/>
          <w:sz w:val="20"/>
          <w:szCs w:val="20"/>
        </w:rPr>
      </w:r>
    </w:p>
    <w:tbl>
      <w:tblPr>
        <w:tblStyle w:val="a5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40"/>
        <w:gridCol w:w="4111"/>
        <w:gridCol w:w="1886"/>
        <w:gridCol w:w="1633"/>
      </w:tblGrid>
      <w:tr>
        <w:trPr/>
        <w:tc>
          <w:tcPr>
            <w:tcW w:w="1940" w:type="dxa"/>
            <w:tcBorders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color w:val="1A1A1A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1A1A1A"/>
                <w:kern w:val="0"/>
                <w:sz w:val="28"/>
                <w:szCs w:val="28"/>
                <w:lang w:val="ru-RU" w:eastAsia="ru-RU" w:bidi="ar-SA"/>
              </w:rPr>
              <w:t>Дата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color w:val="1A1A1A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1A1A1A"/>
                <w:sz w:val="28"/>
                <w:szCs w:val="28"/>
              </w:rPr>
            </w:r>
          </w:p>
        </w:tc>
        <w:tc>
          <w:tcPr>
            <w:tcW w:w="41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1A1A1A"/>
                <w:kern w:val="0"/>
                <w:sz w:val="28"/>
                <w:szCs w:val="28"/>
                <w:lang w:val="ru-RU" w:eastAsia="ru-RU" w:bidi="ar-SA"/>
              </w:rPr>
              <w:t>Название конкурса</w:t>
            </w:r>
          </w:p>
        </w:tc>
        <w:tc>
          <w:tcPr>
            <w:tcW w:w="18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kern w:val="0"/>
                <w:sz w:val="28"/>
                <w:szCs w:val="22"/>
                <w:lang w:val="ru-RU" w:eastAsia="ru-RU" w:bidi="ar-SA"/>
              </w:rPr>
              <w:t>ФИО учащегося</w:t>
            </w:r>
          </w:p>
        </w:tc>
        <w:tc>
          <w:tcPr>
            <w:tcW w:w="1633" w:type="dxa"/>
            <w:tcBorders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1A1A1A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1A1A1A"/>
                <w:kern w:val="0"/>
                <w:sz w:val="28"/>
                <w:szCs w:val="28"/>
                <w:lang w:val="ru-RU" w:eastAsia="ru-RU" w:bidi="ar-SA"/>
              </w:rPr>
              <w:t>Результат</w:t>
            </w:r>
          </w:p>
          <w:p>
            <w:pPr>
              <w:pStyle w:val="Normal"/>
              <w:widowControl w:val="false"/>
              <w:shd w:val="clear" w:color="auto" w:fill="FFFFFF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b/>
                <w:b/>
                <w:color w:val="1A1A1A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color w:val="1A1A1A"/>
                <w:sz w:val="28"/>
                <w:szCs w:val="28"/>
              </w:rPr>
            </w:r>
          </w:p>
        </w:tc>
      </w:tr>
      <w:tr>
        <w:trPr/>
        <w:tc>
          <w:tcPr>
            <w:tcW w:w="19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4111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Краевой конкурс декоративно-прикладного искусства «Светлый праздник Пасхи»</w:t>
            </w:r>
          </w:p>
        </w:tc>
        <w:tc>
          <w:tcPr>
            <w:tcW w:w="18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Кудлацкий Вадим</w:t>
            </w:r>
          </w:p>
        </w:tc>
        <w:tc>
          <w:tcPr>
            <w:tcW w:w="16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en-US" w:eastAsia="ru-RU" w:bidi="ar-SA"/>
              </w:rPr>
              <w:t>II место</w:t>
            </w:r>
          </w:p>
        </w:tc>
      </w:tr>
      <w:tr>
        <w:trPr/>
        <w:tc>
          <w:tcPr>
            <w:tcW w:w="194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41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en-US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en-US" w:eastAsia="ru-RU" w:bidi="ar-SA"/>
              </w:rPr>
              <w:t xml:space="preserve">XIX </w:t>
            </w: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Всероссийского детского экологического форума «Зеленая планета 2021»</w:t>
            </w: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Лугаськова Марина</w:t>
            </w:r>
          </w:p>
        </w:tc>
        <w:tc>
          <w:tcPr>
            <w:tcW w:w="163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Призер, лаурят 3 степени</w:t>
            </w:r>
          </w:p>
        </w:tc>
      </w:tr>
      <w:tr>
        <w:trPr/>
        <w:tc>
          <w:tcPr>
            <w:tcW w:w="194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41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Краевой конкурс технических разработок, рисунков и поделок по теме робототехники(школьники)</w:t>
            </w: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Лугаськова Марина</w:t>
            </w:r>
          </w:p>
        </w:tc>
        <w:tc>
          <w:tcPr>
            <w:tcW w:w="163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III место</w:t>
            </w:r>
          </w:p>
        </w:tc>
      </w:tr>
      <w:tr>
        <w:trPr/>
        <w:tc>
          <w:tcPr>
            <w:tcW w:w="1940" w:type="dxa"/>
            <w:vMerge w:val="restart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2022 г.</w:t>
            </w:r>
          </w:p>
        </w:tc>
        <w:tc>
          <w:tcPr>
            <w:tcW w:w="4111" w:type="dxa"/>
            <w:vMerge w:val="restart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Краевой конкурс творческих работ «Счастливый родитель»</w:t>
            </w: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Барсукова Цветана</w:t>
            </w:r>
          </w:p>
        </w:tc>
        <w:tc>
          <w:tcPr>
            <w:tcW w:w="163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 место</w:t>
            </w:r>
          </w:p>
        </w:tc>
      </w:tr>
      <w:tr>
        <w:trPr/>
        <w:tc>
          <w:tcPr>
            <w:tcW w:w="194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</w:r>
          </w:p>
        </w:tc>
        <w:tc>
          <w:tcPr>
            <w:tcW w:w="4111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2"/>
                <w:szCs w:val="28"/>
                <w:lang w:val="ru-RU" w:eastAsia="ru-RU" w:bidi="ar-SA"/>
              </w:rPr>
            </w: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Лугаськова Марина</w:t>
            </w:r>
          </w:p>
        </w:tc>
        <w:tc>
          <w:tcPr>
            <w:tcW w:w="163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III место</w:t>
            </w:r>
          </w:p>
        </w:tc>
      </w:tr>
      <w:tr>
        <w:trPr/>
        <w:tc>
          <w:tcPr>
            <w:tcW w:w="194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2022</w:t>
            </w:r>
          </w:p>
        </w:tc>
        <w:tc>
          <w:tcPr>
            <w:tcW w:w="41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Со светофоровой наукой по дороге в школу, в детский сад</w:t>
            </w: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Спиридонов Николай</w:t>
            </w:r>
          </w:p>
        </w:tc>
        <w:tc>
          <w:tcPr>
            <w:tcW w:w="163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 место</w:t>
            </w:r>
          </w:p>
        </w:tc>
      </w:tr>
      <w:tr>
        <w:trPr/>
        <w:tc>
          <w:tcPr>
            <w:tcW w:w="194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2022</w:t>
            </w:r>
          </w:p>
        </w:tc>
        <w:tc>
          <w:tcPr>
            <w:tcW w:w="41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Мой папа и я за безопасные дороги</w:t>
            </w: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Кравцова Валерия</w:t>
            </w:r>
          </w:p>
        </w:tc>
        <w:tc>
          <w:tcPr>
            <w:tcW w:w="163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 место</w:t>
            </w:r>
          </w:p>
        </w:tc>
      </w:tr>
      <w:tr>
        <w:trPr/>
        <w:tc>
          <w:tcPr>
            <w:tcW w:w="194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2022</w:t>
            </w:r>
          </w:p>
        </w:tc>
        <w:tc>
          <w:tcPr>
            <w:tcW w:w="41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Краевой заочный этап Всероссийского конкурса «Моя малая родина: природа, культура, этнос». Номинация «Духовные и экологические традиции моей малой родины»</w:t>
            </w: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Красько Милена</w:t>
            </w:r>
          </w:p>
        </w:tc>
        <w:tc>
          <w:tcPr>
            <w:tcW w:w="163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III место</w:t>
            </w:r>
          </w:p>
        </w:tc>
      </w:tr>
      <w:tr>
        <w:trPr/>
        <w:tc>
          <w:tcPr>
            <w:tcW w:w="194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2024  г. Санкт-Петербург</w:t>
            </w:r>
          </w:p>
        </w:tc>
        <w:tc>
          <w:tcPr>
            <w:tcW w:w="41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Международный конкурс декоративно-прикладного творчества «Магия творчества»</w:t>
            </w: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Бурлева Анна</w:t>
            </w:r>
          </w:p>
        </w:tc>
        <w:tc>
          <w:tcPr>
            <w:tcW w:w="163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 место</w:t>
            </w:r>
          </w:p>
        </w:tc>
      </w:tr>
      <w:tr>
        <w:trPr/>
        <w:tc>
          <w:tcPr>
            <w:tcW w:w="194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2024 г. Ставрополь</w:t>
            </w:r>
          </w:p>
        </w:tc>
        <w:tc>
          <w:tcPr>
            <w:tcW w:w="4111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 xml:space="preserve">Заочный этап краевого конкурса </w:t>
            </w: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en-US" w:eastAsia="ru-RU" w:bidi="ar-SA"/>
              </w:rPr>
              <w:t xml:space="preserve">IX </w:t>
            </w: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Всероссийского конкурса детского и юношеского творчества «Базовые национальные ценности в творчестве»</w:t>
            </w:r>
          </w:p>
        </w:tc>
        <w:tc>
          <w:tcPr>
            <w:tcW w:w="18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Мисюра Анатолий</w:t>
            </w:r>
          </w:p>
        </w:tc>
        <w:tc>
          <w:tcPr>
            <w:tcW w:w="16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en-US" w:eastAsia="ru-RU" w:bidi="ar-SA"/>
              </w:rPr>
              <w:t>II место</w:t>
            </w:r>
          </w:p>
        </w:tc>
      </w:tr>
      <w:tr>
        <w:trPr/>
        <w:tc>
          <w:tcPr>
            <w:tcW w:w="194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</w:r>
          </w:p>
        </w:tc>
        <w:tc>
          <w:tcPr>
            <w:tcW w:w="4111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</w:r>
          </w:p>
        </w:tc>
        <w:tc>
          <w:tcPr>
            <w:tcW w:w="18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Яровая кристина</w:t>
            </w:r>
          </w:p>
        </w:tc>
        <w:tc>
          <w:tcPr>
            <w:tcW w:w="16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III место</w:t>
            </w:r>
          </w:p>
        </w:tc>
      </w:tr>
      <w:tr>
        <w:trPr/>
        <w:tc>
          <w:tcPr>
            <w:tcW w:w="194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</w:r>
          </w:p>
        </w:tc>
        <w:tc>
          <w:tcPr>
            <w:tcW w:w="4111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</w: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Разумец Георгий</w:t>
            </w:r>
          </w:p>
        </w:tc>
        <w:tc>
          <w:tcPr>
            <w:tcW w:w="163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III место</w:t>
            </w:r>
          </w:p>
        </w:tc>
      </w:tr>
      <w:tr>
        <w:trPr>
          <w:trHeight w:val="1245" w:hRule="atLeast"/>
        </w:trPr>
        <w:tc>
          <w:tcPr>
            <w:tcW w:w="1940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2024 г.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Ставрополь</w:t>
            </w:r>
          </w:p>
        </w:tc>
        <w:tc>
          <w:tcPr>
            <w:tcW w:w="4111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Краевой конкурс творческих работ по творческому воображению  «Калейдоскоп идей», посвященный году семьи</w:t>
            </w:r>
          </w:p>
        </w:tc>
        <w:tc>
          <w:tcPr>
            <w:tcW w:w="18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Булыгин Лев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</w:r>
          </w:p>
        </w:tc>
        <w:tc>
          <w:tcPr>
            <w:tcW w:w="16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 место</w:t>
            </w:r>
          </w:p>
        </w:tc>
      </w:tr>
      <w:tr>
        <w:trPr>
          <w:trHeight w:val="1215" w:hRule="atLeast"/>
        </w:trPr>
        <w:tc>
          <w:tcPr>
            <w:tcW w:w="1940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</w:r>
          </w:p>
        </w:tc>
        <w:tc>
          <w:tcPr>
            <w:tcW w:w="4111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2"/>
                <w:szCs w:val="28"/>
              </w:rPr>
            </w:r>
          </w:p>
        </w:tc>
        <w:tc>
          <w:tcPr>
            <w:tcW w:w="188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Times New Roman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Сафонова Анастасия</w:t>
            </w:r>
          </w:p>
        </w:tc>
        <w:tc>
          <w:tcPr>
            <w:tcW w:w="1633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/>
                <w:kern w:val="0"/>
                <w:sz w:val="28"/>
                <w:szCs w:val="28"/>
                <w:lang w:val="ru-RU" w:eastAsia="ru-RU" w:bidi="ar-SA"/>
              </w:rPr>
              <w:t>I место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Helvetica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915c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9f1e29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9f1e2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51" w:customStyle="1">
    <w:name w:val="Style5"/>
    <w:basedOn w:val="Normal"/>
    <w:qFormat/>
    <w:rsid w:val="00602bee"/>
    <w:pPr>
      <w:widowControl w:val="false"/>
      <w:spacing w:lineRule="exact" w:line="274" w:before="0" w:after="0"/>
      <w:ind w:firstLine="389"/>
      <w:jc w:val="both"/>
    </w:pPr>
    <w:rPr>
      <w:rFonts w:ascii="Tahoma" w:hAnsi="Tahoma" w:eastAsia="Times New Roman" w:cs="Tahoma"/>
      <w:sz w:val="24"/>
      <w:szCs w:val="24"/>
    </w:rPr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617b6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Application>LibreOffice/7.1.1.2$Windows_X86_64 LibreOffice_project/fe0b08f4af1bacafe4c7ecc87ce55bb426164676</Application>
  <AppVersion>15.0000</AppVersion>
  <Pages>4</Pages>
  <Words>682</Words>
  <Characters>4733</Characters>
  <CharactersWithSpaces>5313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2024-03-07T06:26:00Z</dcterms:created>
  <dc:creator>DDT-3</dc:creator>
  <dc:description/>
  <dc:language>ru-RU</dc:language>
  <cp:lastModifiedBy/>
  <dcterms:modified xsi:type="dcterms:W3CDTF">2025-03-05T11:12:36Z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