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Сведения о качестве реализации Программы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</w:rPr>
      </w:r>
    </w:p>
    <w:p>
      <w:pPr>
        <w:pStyle w:val="Style51"/>
        <w:widowControl/>
        <w:spacing w:lineRule="auto" w:line="240" w:before="0" w:after="0"/>
        <w:ind w:hanging="0"/>
        <w:contextualSpacing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cs="Times New Roman" w:ascii="Times New Roman" w:hAnsi="Times New Roman"/>
          <w:color w:val="1A1A1A"/>
          <w:sz w:val="28"/>
          <w:szCs w:val="28"/>
        </w:rPr>
        <w:t xml:space="preserve">Представленная </w:t>
      </w:r>
      <w:r>
        <w:rPr>
          <w:rFonts w:cs="Times New Roman" w:ascii="Times New Roman" w:hAnsi="Times New Roman"/>
          <w:sz w:val="28"/>
          <w:szCs w:val="28"/>
          <w:lang w:eastAsia="en-US"/>
        </w:rPr>
        <w:t>дополнительная общеобразовательная общеразвивающая программа «</w:t>
      </w:r>
      <w:r>
        <w:rPr>
          <w:rFonts w:eastAsia="Times New Roman" w:cs="Times New Roman" w:ascii="Times New Roman" w:hAnsi="Times New Roman"/>
          <w:sz w:val="28"/>
          <w:szCs w:val="28"/>
          <w:lang w:eastAsia="en-US"/>
        </w:rPr>
        <w:t>Живые камни</w:t>
      </w:r>
      <w:r>
        <w:rPr>
          <w:rFonts w:cs="Times New Roman" w:ascii="Times New Roman" w:hAnsi="Times New Roman"/>
          <w:sz w:val="28"/>
          <w:szCs w:val="28"/>
          <w:lang w:eastAsia="en-US"/>
        </w:rPr>
        <w:t xml:space="preserve">» включена в образовательную программу МБУДО «Дом детского творчества» г-к Железноводска Ставропольского края имеет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ru-RU" w:eastAsia="en-US" w:bidi="ar-SA"/>
        </w:rPr>
        <w:t>социально-гуманитарную</w:t>
      </w:r>
      <w:r>
        <w:rPr>
          <w:rFonts w:cs="Times New Roman" w:ascii="Times New Roman" w:hAnsi="Times New Roman"/>
          <w:sz w:val="28"/>
          <w:szCs w:val="28"/>
          <w:lang w:eastAsia="en-US"/>
        </w:rPr>
        <w:t xml:space="preserve"> направленность, направлена на развитие </w:t>
      </w:r>
      <w:r>
        <w:rPr>
          <w:rFonts w:cs="Times New Roman" w:ascii="Times New Roman" w:hAnsi="Times New Roman"/>
          <w:sz w:val="28"/>
          <w:szCs w:val="28"/>
          <w:lang w:eastAsia="en-US"/>
        </w:rPr>
        <w:t>у обучающихся скорости чтения, а также на улучшение зрительной и слуховой памяти. Программа позволяет освоить смысловое чтение, развить речь. За счет выполнения разнообразных упражнений концентрируется внимание, расширяется поле зрения, синхронизируются оба полушария. При работе с текстом прослеживается слияние обучения языку и речи: обучающийся учится видеть и понимать отдельные языковые явления и определять их место в системе языка в целом, учится интерпретировать текст.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spacing w:val="-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>Адресат программы: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 xml:space="preserve">  учащиеся 6-1</w:t>
      </w:r>
      <w:r>
        <w:rPr>
          <w:rFonts w:eastAsia="Times New Roman" w:cs="Times New Roman" w:ascii="Times New Roman" w:hAnsi="Times New Roman"/>
          <w:color w:val="auto"/>
          <w:spacing w:val="-2"/>
          <w:kern w:val="0"/>
          <w:sz w:val="28"/>
          <w:szCs w:val="28"/>
          <w:lang w:val="ru-RU" w:eastAsia="ru-RU" w:bidi="ar-SA"/>
        </w:rPr>
        <w:t>0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>лет (мальчики и девочки).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spacing w:val="-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Условия набора: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набор в группы свободный, 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 xml:space="preserve">принимаются все желающие. 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b/>
          <w:b/>
          <w:spacing w:val="-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Условия формирования групп: 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>разновозрастные дети в количестве 10-1</w:t>
      </w:r>
      <w:r>
        <w:rPr>
          <w:rFonts w:eastAsia="Times New Roman" w:cs="Times New Roman" w:ascii="Times New Roman" w:hAnsi="Times New Roman"/>
          <w:color w:val="auto"/>
          <w:spacing w:val="-2"/>
          <w:kern w:val="0"/>
          <w:sz w:val="28"/>
          <w:szCs w:val="28"/>
          <w:lang w:val="ru-RU" w:eastAsia="ru-RU" w:bidi="ar-SA"/>
        </w:rPr>
        <w:t>7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 xml:space="preserve"> человек</w:t>
      </w:r>
      <w:r>
        <w:rPr>
          <w:rFonts w:cs="Times New Roman" w:ascii="Times New Roman" w:hAnsi="Times New Roman"/>
          <w:spacing w:val="-2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>(девочки и мальчики),</w:t>
      </w: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комплектация  объединения  осуществляется  по  принципу  открытости  и  добровольности,  без  предварительного  отбора.  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spacing w:val="-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Отличительная особенность ДОП: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000000"/>
          <w:spacing w:val="-2"/>
          <w:sz w:val="28"/>
          <w:szCs w:val="28"/>
        </w:rPr>
        <w:t>Игровая форма занятий позволяет обучающимся лучше осваивать материал.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Уровень ДОП: </w:t>
      </w:r>
      <w:r>
        <w:rPr>
          <w:rFonts w:cs="Times New Roman" w:ascii="Times New Roman" w:hAnsi="Times New Roman"/>
          <w:sz w:val="28"/>
          <w:szCs w:val="28"/>
        </w:rPr>
        <w:t>стартовый (ознакомительный)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Объём и срок реализации программы –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срок реализации программы – 1 год.  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b/>
          <w:b/>
          <w:spacing w:val="-2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Общее количество учебных часов составляет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 xml:space="preserve"> – 72 часа.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spacing w:val="-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Режим занятий – 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>1 раз в неделю по 2 академических часа (по 45 минут с перерывом 10 минут)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b/>
          <w:b/>
          <w:spacing w:val="-2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Форма обучения 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>– очная</w:t>
      </w:r>
      <w:r>
        <w:rPr>
          <w:rFonts w:eastAsia="Times New Roman" w:cs="Times New Roman" w:ascii="Times New Roman" w:hAnsi="Times New Roman"/>
          <w:b/>
          <w:spacing w:val="-2"/>
          <w:sz w:val="26"/>
          <w:szCs w:val="26"/>
        </w:rPr>
        <w:t xml:space="preserve">   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</w:rPr>
      </w:pPr>
      <w:r>
        <w:rPr>
          <w:rFonts w:eastAsia="Times New Roman" w:cs="Helvetica" w:ascii="Helvetica" w:hAnsi="Helvetica"/>
          <w:color w:val="1A1A1A"/>
          <w:sz w:val="23"/>
          <w:szCs w:val="23"/>
        </w:rPr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 xml:space="preserve">Цель программы: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>повышение скорости осмысленного чтения, формирование навыков быстрого и устойчивого восприятия большого объема информации.</w:t>
      </w:r>
    </w:p>
    <w:p>
      <w:pPr>
        <w:pStyle w:val="Normal"/>
        <w:shd w:val="clear" w:color="auto" w:fill="FFFFFF"/>
        <w:spacing w:lineRule="auto" w:line="240" w:before="0" w:after="0"/>
        <w:ind w:firstLine="710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Общие сведения об обучающихся:</w:t>
      </w:r>
    </w:p>
    <w:p>
      <w:pPr>
        <w:pStyle w:val="Normal"/>
        <w:shd w:val="clear" w:color="auto" w:fill="FFFFFF"/>
        <w:spacing w:lineRule="auto" w:line="240" w:before="0" w:after="0"/>
        <w:ind w:firstLine="710"/>
        <w:jc w:val="both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</w:rPr>
      </w:r>
    </w:p>
    <w:tbl>
      <w:tblPr>
        <w:tblW w:w="9782" w:type="dxa"/>
        <w:jc w:val="left"/>
        <w:tblInd w:w="-22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421"/>
        <w:gridCol w:w="1866"/>
        <w:gridCol w:w="1713"/>
        <w:gridCol w:w="1962"/>
        <w:gridCol w:w="1293"/>
        <w:gridCol w:w="1526"/>
      </w:tblGrid>
      <w:tr>
        <w:trPr>
          <w:trHeight w:val="325" w:hRule="atLeast"/>
        </w:trPr>
        <w:tc>
          <w:tcPr>
            <w:tcW w:w="14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Учебный год</w:t>
            </w:r>
          </w:p>
        </w:tc>
        <w:tc>
          <w:tcPr>
            <w:tcW w:w="18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Сохранность (%)</w:t>
            </w:r>
          </w:p>
        </w:tc>
        <w:tc>
          <w:tcPr>
            <w:tcW w:w="17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Количество групп</w:t>
            </w:r>
          </w:p>
        </w:tc>
        <w:tc>
          <w:tcPr>
            <w:tcW w:w="19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Количество обучающихся</w:t>
            </w: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Из них:</w:t>
            </w:r>
          </w:p>
        </w:tc>
      </w:tr>
      <w:tr>
        <w:trPr>
          <w:trHeight w:val="142" w:hRule="atLeast"/>
        </w:trPr>
        <w:tc>
          <w:tcPr>
            <w:tcW w:w="142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186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1713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196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1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девочки</w:t>
            </w:r>
          </w:p>
        </w:tc>
        <w:tc>
          <w:tcPr>
            <w:tcW w:w="1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мальчики</w:t>
            </w:r>
          </w:p>
        </w:tc>
      </w:tr>
      <w:tr>
        <w:trPr>
          <w:trHeight w:val="325" w:hRule="atLeast"/>
        </w:trPr>
        <w:tc>
          <w:tcPr>
            <w:tcW w:w="142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2022-2023</w:t>
            </w:r>
          </w:p>
        </w:tc>
        <w:tc>
          <w:tcPr>
            <w:tcW w:w="18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100%</w:t>
            </w:r>
          </w:p>
        </w:tc>
        <w:tc>
          <w:tcPr>
            <w:tcW w:w="17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196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34</w:t>
            </w:r>
          </w:p>
        </w:tc>
        <w:tc>
          <w:tcPr>
            <w:tcW w:w="12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11</w:t>
            </w:r>
          </w:p>
        </w:tc>
        <w:tc>
          <w:tcPr>
            <w:tcW w:w="15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23</w:t>
            </w:r>
          </w:p>
        </w:tc>
      </w:tr>
      <w:tr>
        <w:trPr>
          <w:trHeight w:val="325" w:hRule="atLeast"/>
        </w:trPr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2023-2024</w:t>
            </w:r>
          </w:p>
        </w:tc>
        <w:tc>
          <w:tcPr>
            <w:tcW w:w="1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100%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1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34</w:t>
            </w:r>
          </w:p>
        </w:tc>
        <w:tc>
          <w:tcPr>
            <w:tcW w:w="1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15</w:t>
            </w:r>
          </w:p>
        </w:tc>
        <w:tc>
          <w:tcPr>
            <w:tcW w:w="1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19</w:t>
            </w:r>
          </w:p>
        </w:tc>
      </w:tr>
      <w:tr>
        <w:trPr>
          <w:trHeight w:val="325" w:hRule="atLeast"/>
        </w:trPr>
        <w:tc>
          <w:tcPr>
            <w:tcW w:w="142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202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4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-202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5</w:t>
            </w:r>
          </w:p>
        </w:tc>
        <w:tc>
          <w:tcPr>
            <w:tcW w:w="18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100%</w:t>
            </w:r>
          </w:p>
        </w:tc>
        <w:tc>
          <w:tcPr>
            <w:tcW w:w="17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196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34</w:t>
            </w:r>
          </w:p>
        </w:tc>
        <w:tc>
          <w:tcPr>
            <w:tcW w:w="12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16</w:t>
            </w:r>
          </w:p>
        </w:tc>
        <w:tc>
          <w:tcPr>
            <w:tcW w:w="15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18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fill="FFFFFF" w:val="clear"/>
        <w:bidi w:val="0"/>
        <w:spacing w:lineRule="auto" w:line="36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Основной показатель качества освоения программы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– увеличение скорости чтения и быстрое усвоение необходимой информации, личностный рост обучающегося, его самореализация и определение своего места в ученическом коллективе.</w:t>
      </w:r>
    </w:p>
    <w:p>
      <w:pPr>
        <w:pStyle w:val="Normal"/>
        <w:shd w:fill="FFFFFF" w:val="clear"/>
        <w:bidi w:val="0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Принципы обучения:</w:t>
      </w:r>
    </w:p>
    <w:p>
      <w:pPr>
        <w:pStyle w:val="Normal"/>
        <w:shd w:fill="FFFFFF" w:val="clear"/>
        <w:bidi w:val="0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- принцип сознательности, творческой активности, самостоятельности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ребёнка при руководящей роли педагога;</w:t>
      </w:r>
    </w:p>
    <w:p>
      <w:pPr>
        <w:pStyle w:val="Normal"/>
        <w:shd w:val="clear" w:color="auto" w:fill="FFFFFF"/>
        <w:bidi w:val="0"/>
        <w:spacing w:lineRule="auto" w:line="360" w:before="0" w:after="0"/>
        <w:ind w:left="0" w:right="0"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Calibri" w:ascii="Times New Roman" w:hAnsi="Times New Roman"/>
          <w:color w:val="000000"/>
          <w:sz w:val="28"/>
          <w:szCs w:val="28"/>
          <w:lang w:eastAsia="ru-RU"/>
        </w:rPr>
        <w:t>- принцип наглядности, единства конкретного и абстрактного, рационального и эмоционального, репродуктивного и продуктивного обучения скорочтению, улучшению зрительной и слуховой памяти, как выражение комплексного подхода;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Результаты мониторинга за 202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2"/>
          <w:lang w:val="ru-RU" w:eastAsia="ru-RU" w:bidi="ar-SA"/>
        </w:rPr>
        <w:t>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-202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2"/>
          <w:lang w:val="ru-RU" w:eastAsia="ru-RU" w:bidi="ar-SA"/>
        </w:rPr>
        <w:t>5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 xml:space="preserve"> гг.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</w:rPr>
      </w:r>
    </w:p>
    <w:tbl>
      <w:tblPr>
        <w:tblW w:w="9430" w:type="dxa"/>
        <w:jc w:val="left"/>
        <w:tblInd w:w="-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385"/>
        <w:gridCol w:w="2171"/>
        <w:gridCol w:w="1482"/>
        <w:gridCol w:w="1474"/>
        <w:gridCol w:w="1433"/>
        <w:gridCol w:w="1484"/>
      </w:tblGrid>
      <w:tr>
        <w:trPr>
          <w:trHeight w:val="326" w:hRule="atLeast"/>
        </w:trPr>
        <w:tc>
          <w:tcPr>
            <w:tcW w:w="13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Учебный год</w:t>
            </w:r>
          </w:p>
        </w:tc>
        <w:tc>
          <w:tcPr>
            <w:tcW w:w="217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контроль/</w:t>
            </w:r>
          </w:p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аттестация</w:t>
            </w:r>
          </w:p>
        </w:tc>
        <w:tc>
          <w:tcPr>
            <w:tcW w:w="148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кол-во учащихся</w:t>
            </w:r>
          </w:p>
        </w:tc>
        <w:tc>
          <w:tcPr>
            <w:tcW w:w="439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Уровень, %</w:t>
            </w:r>
          </w:p>
        </w:tc>
      </w:tr>
      <w:tr>
        <w:trPr>
          <w:trHeight w:val="142" w:hRule="atLeast"/>
        </w:trPr>
        <w:tc>
          <w:tcPr>
            <w:tcW w:w="1385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1482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Высокий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Средний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Ниже среднего</w:t>
            </w:r>
          </w:p>
        </w:tc>
      </w:tr>
      <w:tr>
        <w:trPr>
          <w:trHeight w:val="341" w:hRule="atLeast"/>
        </w:trPr>
        <w:tc>
          <w:tcPr>
            <w:tcW w:w="13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202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eastAsia="ru-RU" w:bidi="ar-SA"/>
              </w:rPr>
              <w:t>2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-202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текущий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35,7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35,7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28,6</w:t>
            </w:r>
          </w:p>
        </w:tc>
      </w:tr>
      <w:tr>
        <w:trPr>
          <w:trHeight w:val="341" w:hRule="atLeast"/>
        </w:trPr>
        <w:tc>
          <w:tcPr>
            <w:tcW w:w="138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промежуточный</w:t>
            </w:r>
          </w:p>
        </w:tc>
        <w:tc>
          <w:tcPr>
            <w:tcW w:w="1482" w:type="dxa"/>
            <w:tcBorders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4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50</w:t>
            </w: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33,3</w:t>
            </w:r>
          </w:p>
        </w:tc>
        <w:tc>
          <w:tcPr>
            <w:tcW w:w="14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16,7</w:t>
            </w:r>
          </w:p>
        </w:tc>
      </w:tr>
      <w:tr>
        <w:trPr>
          <w:trHeight w:val="341" w:hRule="atLeast"/>
        </w:trPr>
        <w:tc>
          <w:tcPr>
            <w:tcW w:w="138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</w:rPr>
              <w:t>итоговый</w:t>
            </w:r>
          </w:p>
        </w:tc>
        <w:tc>
          <w:tcPr>
            <w:tcW w:w="1482" w:type="dxa"/>
            <w:tcBorders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4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64,2</w:t>
            </w: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28,6</w:t>
            </w:r>
          </w:p>
        </w:tc>
        <w:tc>
          <w:tcPr>
            <w:tcW w:w="14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7,2</w:t>
            </w:r>
          </w:p>
        </w:tc>
      </w:tr>
      <w:tr>
        <w:trPr>
          <w:trHeight w:val="341" w:hRule="atLeast"/>
        </w:trPr>
        <w:tc>
          <w:tcPr>
            <w:tcW w:w="1385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202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eastAsia="ru-RU" w:bidi="ar-SA"/>
              </w:rPr>
              <w:t>3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-202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eastAsia="ru-RU" w:bidi="ar-SA"/>
              </w:rPr>
              <w:t>4</w:t>
            </w:r>
          </w:p>
        </w:tc>
        <w:tc>
          <w:tcPr>
            <w:tcW w:w="217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текущий</w:t>
            </w:r>
          </w:p>
        </w:tc>
        <w:tc>
          <w:tcPr>
            <w:tcW w:w="1482" w:type="dxa"/>
            <w:tcBorders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4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36,7</w:t>
            </w: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4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,7</w:t>
            </w:r>
          </w:p>
        </w:tc>
        <w:tc>
          <w:tcPr>
            <w:tcW w:w="14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28,6</w:t>
            </w:r>
          </w:p>
        </w:tc>
      </w:tr>
      <w:tr>
        <w:trPr>
          <w:trHeight w:val="341" w:hRule="atLeast"/>
        </w:trPr>
        <w:tc>
          <w:tcPr>
            <w:tcW w:w="1385" w:type="dxa"/>
            <w:vMerge w:val="continue"/>
            <w:tcBorders>
              <w:left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промежуточный</w:t>
            </w:r>
          </w:p>
        </w:tc>
        <w:tc>
          <w:tcPr>
            <w:tcW w:w="1482" w:type="dxa"/>
            <w:tcBorders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60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23,3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16,7</w:t>
            </w:r>
          </w:p>
        </w:tc>
      </w:tr>
      <w:tr>
        <w:trPr>
          <w:trHeight w:val="341" w:hRule="atLeast"/>
        </w:trPr>
        <w:tc>
          <w:tcPr>
            <w:tcW w:w="1385" w:type="dxa"/>
            <w:vMerge w:val="continue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</w:rPr>
              <w:t>итоговый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64,2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28,6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7,2</w:t>
            </w:r>
          </w:p>
        </w:tc>
      </w:tr>
      <w:tr>
        <w:trPr>
          <w:trHeight w:val="341" w:hRule="atLeast"/>
        </w:trPr>
        <w:tc>
          <w:tcPr>
            <w:tcW w:w="13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202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eastAsia="ru-RU" w:bidi="ar-SA"/>
              </w:rPr>
              <w:t>4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-202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текущий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34</w:t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37,5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31,2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31,3</w:t>
            </w:r>
          </w:p>
        </w:tc>
      </w:tr>
      <w:tr>
        <w:trPr>
          <w:trHeight w:val="341" w:hRule="atLeast"/>
        </w:trPr>
        <w:tc>
          <w:tcPr>
            <w:tcW w:w="1385" w:type="dxa"/>
            <w:vMerge w:val="continue"/>
            <w:tcBorders>
              <w:left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промежуточный</w:t>
            </w:r>
          </w:p>
        </w:tc>
        <w:tc>
          <w:tcPr>
            <w:tcW w:w="1482" w:type="dxa"/>
            <w:tcBorders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62,5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31,2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6,3</w:t>
            </w:r>
          </w:p>
        </w:tc>
      </w:tr>
      <w:tr>
        <w:trPr>
          <w:trHeight w:val="341" w:hRule="atLeast"/>
        </w:trPr>
        <w:tc>
          <w:tcPr>
            <w:tcW w:w="1385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</w:rPr>
              <w:t>итоговый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75,2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23,3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1,6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sz w:val="28"/>
          <w:szCs w:val="28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>Промежуточный контроль,  проводится по окончании первого полугодия (декабрь каждого учебного года), что позволяет оценить степень освоения программы на данном этапе. Итоговый в конце каждого учебного года (май), что позволяет оценить результативность освоения программы за учебный год.</w:t>
      </w:r>
      <w:r>
        <w:rPr>
          <w:rFonts w:eastAsia="Times New Roman" w:cs="Times New Roman" w:ascii="Times New Roman" w:hAnsi="Times New Roman"/>
          <w:color w:val="000000"/>
          <w:sz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1A1A1A"/>
          <w:sz w:val="28"/>
          <w:szCs w:val="28"/>
        </w:rPr>
        <w:t>Вывод: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 xml:space="preserve"> положительная  динамика  результатов  освоения  учащимися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sz w:val="28"/>
          <w:szCs w:val="28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 xml:space="preserve">дополнительной образовательной программы и </w:t>
      </w:r>
      <w:r>
        <w:rPr>
          <w:rFonts w:cs="Times New Roman" w:ascii="Times New Roman" w:hAnsi="Times New Roman"/>
          <w:color w:val="1A1A1A"/>
          <w:sz w:val="28"/>
          <w:szCs w:val="28"/>
          <w:shd w:fill="FFFFFF" w:val="clear"/>
        </w:rPr>
        <w:t xml:space="preserve">стабильность сохранности контингента  обучающихся  по  программе 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 xml:space="preserve"> наблюдается  в  течение  </w:t>
      </w:r>
      <w:r>
        <w:rPr>
          <w:rFonts w:eastAsia="Times New Roman" w:cs="Times New Roman" w:ascii="Times New Roman" w:hAnsi="Times New Roman"/>
          <w:color w:val="1A1A1A"/>
          <w:kern w:val="0"/>
          <w:sz w:val="28"/>
          <w:szCs w:val="28"/>
          <w:lang w:val="ru-RU" w:eastAsia="ru-RU" w:bidi="ar-SA"/>
        </w:rPr>
        <w:t>трех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sz w:val="28"/>
          <w:szCs w:val="28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>лет (с 202</w:t>
      </w:r>
      <w:r>
        <w:rPr>
          <w:rFonts w:eastAsia="Times New Roman" w:cs="Times New Roman" w:ascii="Times New Roman" w:hAnsi="Times New Roman"/>
          <w:color w:val="1A1A1A"/>
          <w:kern w:val="0"/>
          <w:sz w:val="28"/>
          <w:szCs w:val="28"/>
          <w:lang w:val="ru-RU" w:eastAsia="ru-RU" w:bidi="ar-SA"/>
        </w:rPr>
        <w:t>2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>-202</w:t>
      </w:r>
      <w:r>
        <w:rPr>
          <w:rFonts w:eastAsia="Times New Roman" w:cs="Times New Roman" w:ascii="Times New Roman" w:hAnsi="Times New Roman"/>
          <w:color w:val="1A1A1A"/>
          <w:kern w:val="0"/>
          <w:sz w:val="28"/>
          <w:szCs w:val="28"/>
          <w:lang w:val="ru-RU" w:eastAsia="ru-RU" w:bidi="ar-SA"/>
        </w:rPr>
        <w:t>3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>,  202</w:t>
      </w:r>
      <w:r>
        <w:rPr>
          <w:rFonts w:eastAsia="Times New Roman" w:cs="Times New Roman" w:ascii="Times New Roman" w:hAnsi="Times New Roman"/>
          <w:color w:val="1A1A1A"/>
          <w:kern w:val="0"/>
          <w:sz w:val="28"/>
          <w:szCs w:val="28"/>
          <w:lang w:val="ru-RU" w:eastAsia="ru-RU" w:bidi="ar-SA"/>
        </w:rPr>
        <w:t>3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>-202</w:t>
      </w:r>
      <w:r>
        <w:rPr>
          <w:rFonts w:eastAsia="Times New Roman" w:cs="Times New Roman" w:ascii="Times New Roman" w:hAnsi="Times New Roman"/>
          <w:color w:val="1A1A1A"/>
          <w:kern w:val="0"/>
          <w:sz w:val="28"/>
          <w:szCs w:val="28"/>
          <w:lang w:val="ru-RU" w:eastAsia="ru-RU" w:bidi="ar-SA"/>
        </w:rPr>
        <w:t>4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 xml:space="preserve"> уч.г. по 202</w:t>
      </w:r>
      <w:r>
        <w:rPr>
          <w:rFonts w:eastAsia="Times New Roman" w:cs="Times New Roman" w:ascii="Times New Roman" w:hAnsi="Times New Roman"/>
          <w:color w:val="1A1A1A"/>
          <w:kern w:val="0"/>
          <w:sz w:val="28"/>
          <w:szCs w:val="28"/>
          <w:lang w:val="ru-RU" w:eastAsia="ru-RU" w:bidi="ar-SA"/>
        </w:rPr>
        <w:t>4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>-202</w:t>
      </w:r>
      <w:r>
        <w:rPr>
          <w:rFonts w:eastAsia="Times New Roman" w:cs="Times New Roman" w:ascii="Times New Roman" w:hAnsi="Times New Roman"/>
          <w:color w:val="1A1A1A"/>
          <w:kern w:val="0"/>
          <w:sz w:val="28"/>
          <w:szCs w:val="28"/>
          <w:lang w:val="ru-RU" w:eastAsia="ru-RU" w:bidi="ar-SA"/>
        </w:rPr>
        <w:t>5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 xml:space="preserve"> уч.г.)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Диагностика занимает очень важное место в воспитательно-образовательном процессе. Она позволяет через мониторинг и коррекцию системы педагогической деятельности осуществлять процесс обучения, воспитания и развития детей.</w:t>
      </w:r>
      <w:r>
        <w:rPr>
          <w:rFonts w:eastAsia="Times New Roman" w:cs="Calibri"/>
          <w:color w:val="000000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</w:rPr>
        <w:t>Регулярное отслеживание ЗУН ребенка это и стимулирование его деятельности в дальнейшем, развитие личностных качеств, продвижение в деятельности.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Helvetica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915c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9f1e29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9f1e2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51" w:customStyle="1">
    <w:name w:val="Style5"/>
    <w:basedOn w:val="Normal"/>
    <w:qFormat/>
    <w:rsid w:val="00602bee"/>
    <w:pPr>
      <w:widowControl w:val="false"/>
      <w:spacing w:lineRule="exact" w:line="274" w:before="0" w:after="0"/>
      <w:ind w:firstLine="389"/>
      <w:jc w:val="both"/>
    </w:pPr>
    <w:rPr>
      <w:rFonts w:ascii="Tahoma" w:hAnsi="Tahoma" w:eastAsia="Times New Roman" w:cs="Tahoma"/>
      <w:sz w:val="24"/>
      <w:szCs w:val="24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617b6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Application>LibreOffice/7.1.1.2$Windows_X86_64 LibreOffice_project/fe0b08f4af1bacafe4c7ecc87ce55bb426164676</Application>
  <AppVersion>15.0000</AppVersion>
  <Pages>3</Pages>
  <Words>458</Words>
  <Characters>3231</Characters>
  <CharactersWithSpaces>3631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2024-03-07T06:26:00Z</dcterms:created>
  <dc:creator>DDT-3</dc:creator>
  <dc:description/>
  <dc:language>ru-RU</dc:language>
  <cp:lastModifiedBy/>
  <dcterms:modified xsi:type="dcterms:W3CDTF">2026-03-10T12:23:57Z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