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B6" w:rsidRDefault="00695CB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5CB6" w:rsidRDefault="00695CB6">
      <w:pPr>
        <w:pStyle w:val="ConsPlusNormal"/>
        <w:ind w:firstLine="540"/>
        <w:jc w:val="both"/>
        <w:outlineLvl w:val="0"/>
      </w:pPr>
    </w:p>
    <w:p w:rsidR="00695CB6" w:rsidRDefault="00695CB6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695CB6" w:rsidRDefault="00695CB6">
      <w:pPr>
        <w:pStyle w:val="ConsPlusTitle"/>
        <w:jc w:val="center"/>
      </w:pPr>
      <w:r>
        <w:t>РОССИЙСКОЙ ФЕДЕРАЦИИ</w:t>
      </w:r>
    </w:p>
    <w:p w:rsidR="00695CB6" w:rsidRDefault="00695CB6">
      <w:pPr>
        <w:pStyle w:val="ConsPlusTitle"/>
        <w:jc w:val="center"/>
      </w:pPr>
    </w:p>
    <w:p w:rsidR="00695CB6" w:rsidRDefault="00695CB6">
      <w:pPr>
        <w:pStyle w:val="ConsPlusTitle"/>
        <w:jc w:val="center"/>
      </w:pPr>
      <w:r>
        <w:t>ФЕДЕРАЛЬНАЯ СЛУЖБА ПО НАДЗОРУ В СФЕРЕ ЗАЩИТЫ</w:t>
      </w:r>
    </w:p>
    <w:p w:rsidR="00695CB6" w:rsidRDefault="00695CB6">
      <w:pPr>
        <w:pStyle w:val="ConsPlusTitle"/>
        <w:jc w:val="center"/>
      </w:pPr>
      <w:r>
        <w:t>ПРАВ ПОТРЕБИТЕЛЕЙ И БЛАГОПОЛУЧИЯ ЧЕЛОВЕКА</w:t>
      </w:r>
    </w:p>
    <w:p w:rsidR="00695CB6" w:rsidRDefault="00695CB6">
      <w:pPr>
        <w:pStyle w:val="ConsPlusTitle"/>
        <w:jc w:val="center"/>
      </w:pPr>
    </w:p>
    <w:p w:rsidR="00695CB6" w:rsidRDefault="00695CB6">
      <w:pPr>
        <w:pStyle w:val="ConsPlusTitle"/>
        <w:jc w:val="center"/>
      </w:pPr>
      <w:r>
        <w:t>ПИСЬМО</w:t>
      </w:r>
    </w:p>
    <w:p w:rsidR="00695CB6" w:rsidRDefault="00695CB6">
      <w:pPr>
        <w:pStyle w:val="ConsPlusTitle"/>
        <w:jc w:val="center"/>
      </w:pPr>
      <w:r>
        <w:t>от 25 января 2006 г. N 0100/626-06-32</w:t>
      </w:r>
    </w:p>
    <w:p w:rsidR="00695CB6" w:rsidRDefault="00695CB6">
      <w:pPr>
        <w:pStyle w:val="ConsPlusTitle"/>
        <w:jc w:val="center"/>
      </w:pPr>
    </w:p>
    <w:p w:rsidR="00695CB6" w:rsidRDefault="00695CB6">
      <w:pPr>
        <w:pStyle w:val="ConsPlusTitle"/>
        <w:jc w:val="center"/>
      </w:pPr>
      <w:r>
        <w:t>О ДЕЗИНФИЦИРУЮЩИХ СРЕДСТВАХ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 xml:space="preserve">В связи с поступающими запросами Федеральная служба по надзору в сфере защиты прав потребителей и благополучия человека направляет </w:t>
      </w:r>
      <w:hyperlink w:anchor="P23" w:history="1">
        <w:r>
          <w:rPr>
            <w:color w:val="0000FF"/>
          </w:rPr>
          <w:t>перечень</w:t>
        </w:r>
      </w:hyperlink>
      <w:r>
        <w:t xml:space="preserve"> некоторых зарегистрированных в Российской Федерации дезинфицирующих средств, обладающих вируцидной активностью, подготовленный ФГУН "Научно-исследовательский институт дезинфектологии" Федеральной службы по надзору в сфере защиты прав потребителей и благополучия человека.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 xml:space="preserve">Кроме того, при выборе дезинфицирующего средства следует пользоваться реестром зарегистрированных дезсредств, размещенном на сайте Федеральной службы по надзору в сфере защиты прав потребителей и благополучия человека (www.gsen.ru, раздел "реестры, информационные базы данных"), а также </w:t>
      </w:r>
      <w:hyperlink r:id="rId5" w:history="1">
        <w:r>
          <w:rPr>
            <w:color w:val="0000FF"/>
          </w:rPr>
          <w:t>перечнем</w:t>
        </w:r>
      </w:hyperlink>
      <w:r>
        <w:t>, утвержденным распоряжением Правительства Российской Федерации от 29 декабря 2005 г. N 2343-р.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 xml:space="preserve">Ранее направленные письма Федеральной службы по надзору в сфере защиты прав потребителей и благополучия человека от 16.01.2006 </w:t>
      </w:r>
      <w:hyperlink r:id="rId6" w:history="1">
        <w:r>
          <w:rPr>
            <w:color w:val="0000FF"/>
          </w:rPr>
          <w:t>N 0100/180-06-27</w:t>
        </w:r>
      </w:hyperlink>
      <w:r>
        <w:t xml:space="preserve"> и от 24.01.2006 N 0100/535-06-27 считать утратившими силу.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jc w:val="right"/>
      </w:pPr>
      <w:r>
        <w:t>Заместитель руководителя</w:t>
      </w:r>
    </w:p>
    <w:p w:rsidR="00695CB6" w:rsidRDefault="00695CB6">
      <w:pPr>
        <w:pStyle w:val="ConsPlusNormal"/>
        <w:jc w:val="right"/>
      </w:pPr>
      <w:r>
        <w:t>Н.В.ШЕСТОПАЛОВ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jc w:val="center"/>
        <w:outlineLvl w:val="0"/>
      </w:pPr>
      <w:bookmarkStart w:id="0" w:name="P23"/>
      <w:bookmarkEnd w:id="0"/>
      <w:r>
        <w:t>ПЕРЕЧЕНЬ</w:t>
      </w:r>
    </w:p>
    <w:p w:rsidR="00695CB6" w:rsidRDefault="00695CB6">
      <w:pPr>
        <w:pStyle w:val="ConsPlusNormal"/>
        <w:jc w:val="center"/>
      </w:pPr>
      <w:r>
        <w:t>НЕКОТОРЫХ ЗАРЕГИСТРИРОВАННЫХ В РОССИЙСКОЙ ФЕДЕРАЦИИ</w:t>
      </w:r>
    </w:p>
    <w:p w:rsidR="00695CB6" w:rsidRDefault="00695CB6">
      <w:pPr>
        <w:pStyle w:val="ConsPlusNormal"/>
        <w:jc w:val="center"/>
      </w:pPr>
      <w:r>
        <w:t>ВИРУЦИДНЫХ ДЕЗИНФИЦИРУЮЩИХ СРЕДСТВ</w:t>
      </w:r>
    </w:p>
    <w:p w:rsidR="00695CB6" w:rsidRDefault="00695CB6">
      <w:pPr>
        <w:pStyle w:val="ConsPlusNormal"/>
        <w:jc w:val="center"/>
      </w:pPr>
    </w:p>
    <w:p w:rsidR="00695CB6" w:rsidRDefault="00695CB6">
      <w:pPr>
        <w:pStyle w:val="ConsPlusNormal"/>
        <w:jc w:val="center"/>
        <w:outlineLvl w:val="1"/>
      </w:pPr>
      <w:r>
        <w:t>1. Отечественного производства</w:t>
      </w:r>
    </w:p>
    <w:p w:rsidR="00695CB6" w:rsidRDefault="00695CB6">
      <w:pPr>
        <w:pStyle w:val="ConsPlusNormal"/>
        <w:jc w:val="center"/>
      </w:pPr>
    </w:p>
    <w:p w:rsidR="00695CB6" w:rsidRDefault="00695CB6">
      <w:pPr>
        <w:pStyle w:val="ConsPlusNormal"/>
        <w:ind w:firstLine="540"/>
        <w:jc w:val="both"/>
      </w:pPr>
      <w:r>
        <w:t>Хлорсодержащие: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Белизна-3 (ОАО "Химпром",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Гипостабил (Российская ассоциация "Эпидбиомед",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Гипохлорит натрия, вырабатываемый на установке АГРА-2 (ФНПЦ НИИКИ ОЭП,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Двуосновная соль гипохлорита кальция (ЗАО "Каустик",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ДиХлор (ООО "Дезснаб Трейд",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lastRenderedPageBreak/>
        <w:t>ДП-2Т, таблегки и ДП-2 порошок (ОАО "Алтайхимпром",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Кальция гипохлорит нейтральный (ОАО "Усольехимпром",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Люмакс-Хлор-Лайт (ООО "Технодез",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Нейтральный анолит АПК, вырабатываемый в установке СТЭЛ-10Н-120-01 (ОАО НПО "Экран",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Сульфохлорантин Д, Сульфохлорантин Т (ОАО "Дзержинское оргстекло",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Хлормисепт - Р (ООО "Полисепт",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Хлорная известь (ВОАО "Химпром",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Хлорэффект (ЗАО ЗГФ "Витар", Россия).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>Кислородсодержащие: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Водорода перекись медицинская (ОАО "Усольехимпром",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Оксидезин (ЗАО "Медлекспром",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ПВК (ОАО "Синтез",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Пероксимед ("ЭХО",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ПФК-1, ПФК-2, ПФК-А, ПФК-М (ГНЦ ГНИИ БП,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Септустерил, Сетустин М (ООО "УралстинолБио",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Фармадез (ЗАО "Фармахимпром",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Окадез (ООО ПКМП "ОКА-МЕД", Россия).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>Средства на основе катионных поверхностно-активных веществ и других соединений: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Аламинол, Аламинол плюс (ФГУП "ГНЦ "НИОПИК");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Альфадез - форте (ООО Полисепт,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Амфолизин Базик (ООО Дезиндустрия,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Бактилизин (ООО Дезиндустрия,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Биодез-экстра, Эффект-форте (ООО Биодез,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Бриллиант (ООО Центр профилактики "Гигиена-мед",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Вапусан 2000Р (ООО НПЦ "Медицинская дезинфекция",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Велтолен (НПО Велт,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Велтодез (НПО Велт,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Велтолен-экстра (НПО Велт,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ДВУ-5 (ООО "Дезснаб Трейд",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lastRenderedPageBreak/>
        <w:t>Дезолон (ООО "Пинта СКФ",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Дезавик - экстра (Башбиомед, Россия)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Дезэффект (ЗАО "Центр дезинфекции",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Дезэффект санит (ЗАО "Центр дезинфекции",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Делансин, Лизафин, Лизафин-специаль (ЗАО "Петроспирт",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ДСВУ-1 (ООО "Самарово",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Лефанот (ООО Росхим,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Люмакс (ООО "Технодез",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Мистраль, Авансепт, Трилокс (ООО "МК ВИТА ПУЛ",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Ника-дез, Ника-септ (ООО НПФ Геникс,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Премьер (ООО "Неосинтез",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Сабисепт М (ООО НПФ "Сабина-Гранд",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Самаровка (ООО "Самарово",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Септол (ООО "РОСХИМ",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Супрацид (РА "Эпидбиомед",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Септодор форте ("Хэнпи дэй",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Тридез+ (ООО Русасептика Россия).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>Гуанидинсодержащие средства: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Биопаг Д (Интситут эколого-технологических проблем,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Биор-1 (ООО "Биор",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Биор-Н (ООО "Биор",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Дезофран (ООО "Макферон",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Полисепт (ООО "Фарма-Покров",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Септанол-П (ООО "Медпроминвест",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Фогуцид нео (ООО "Алвида А",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Фосфопаг-Д (Институт эколого-технологических проблем, Россия);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Соната, Соната-дез (ООО "Уралхимфарм - плюс", Россия).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jc w:val="center"/>
        <w:outlineLvl w:val="1"/>
      </w:pPr>
      <w:r>
        <w:t>2. Зарубежного производства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>Хлорсодержащие: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lastRenderedPageBreak/>
        <w:t>Деохлор таблетки (П.Ф.Х. "Петтенс химия", Франция);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Жавелион ("ETC Линоссиер", Франция);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Жавель-Клейд ("Клейд", Франция);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Клор-Клин ("Медентек Лтд", Ирландия);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Клорсепт 25 ("Медентек Лтд", Ирландия);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Пресепт ("Джонсон энд Джонсон Медикал ЛтД" (Великобритания));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Пюржавель (Пастиль жавель эффервессант);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Шипучие жавелевые таблетки ("АРШ Ватер Продактс Франц", Франция);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Санивап ("Наутимекс Индастри", Швеция);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Сума Д4 таб, Сума таб Д4 таб ("Джонсон Дайверси", Нидерланды);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Хлорамин Б (Китай, Чехия);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Хлормисепт (Евротаблестс БВ, Нидерланды).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>Кислородсодержащие: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Виркон ("Натуран", Польша и "КРКА", Словения).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>Гуанидинсодержащие средства: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Славин (ИП "Инкраслав", Республика Беларусь).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  <w:r>
        <w:t>Средства на основе катионных поверхностно-активных веществ и других соединений: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Вапусан 2000 ("Наутимекс Индастри", Швеция);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Вегасепт форте ("Дорвет Лтд", Израиль);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Сурфаниос ("Аниос", Франция);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Триацид (ЗАО "БелАсептика", Республика Беларусь);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Бромосепт 50 (ABIC, Израиль);</w:t>
      </w:r>
    </w:p>
    <w:p w:rsidR="00695CB6" w:rsidRDefault="00695CB6">
      <w:pPr>
        <w:pStyle w:val="ConsPlusNormal"/>
        <w:spacing w:before="220"/>
        <w:ind w:firstLine="540"/>
        <w:jc w:val="both"/>
      </w:pPr>
      <w:r>
        <w:t>Септабик (ABIC, Израиль).</w:t>
      </w: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ind w:firstLine="540"/>
        <w:jc w:val="both"/>
      </w:pPr>
    </w:p>
    <w:p w:rsidR="00695CB6" w:rsidRDefault="00695C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459B" w:rsidRDefault="006D459B">
      <w:bookmarkStart w:id="1" w:name="_GoBack"/>
      <w:bookmarkEnd w:id="1"/>
    </w:p>
    <w:sectPr w:rsidR="006D459B" w:rsidSect="00F5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B6"/>
    <w:rsid w:val="00695CB6"/>
    <w:rsid w:val="006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C89AC-0280-4EA0-807F-0181598F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5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5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49E90F5EF23BBD394DF2CA5C259496A5BEF338BDE0F2BB1A19998ABE019F242E130A1930C3E7DCC80FF1738R1G" TargetMode="External"/><Relationship Id="rId5" Type="http://schemas.openxmlformats.org/officeDocument/2006/relationships/hyperlink" Target="consultantplus://offline/ref=B8549E90F5EF23BBD394DE28B6C259496E54EC3C85DE0F2BB1A19998ABE019E042B93CA094123E79D9D6AE51D4BC229E6F2384FC6E64BD3BR2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Наталья Олеговна</dc:creator>
  <cp:keywords/>
  <dc:description/>
  <cp:lastModifiedBy>Тимошенко Наталья Олеговна</cp:lastModifiedBy>
  <cp:revision>1</cp:revision>
  <dcterms:created xsi:type="dcterms:W3CDTF">2020-03-17T06:17:00Z</dcterms:created>
  <dcterms:modified xsi:type="dcterms:W3CDTF">2020-03-17T06:19:00Z</dcterms:modified>
</cp:coreProperties>
</file>